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6"/>
          <w:szCs w:val="56"/>
        </w:rPr>
      </w:pPr>
      <w:r>
        <w:rPr>
          <w:rFonts w:eastAsia="Times New Roman" w:ascii="Impact" w:hAnsi="Impact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Introduction to  </w:t>
      </w:r>
      <w:r>
        <w:rPr>
          <w:rFonts w:eastAsia="Times New Roman" w:ascii="Impact" w:hAnsi="Impact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Handguns, Concealed Carry Washington Firearms Safety Training</w:t>
      </w:r>
    </w:p>
    <w:p>
      <w:pPr>
        <w:pStyle w:val="Normal"/>
        <w:jc w:val="center"/>
        <w:rPr>
          <w:rFonts w:ascii="Impact" w:hAnsi="Impact" w:eastAsia="Times New Roman"/>
          <w:b/>
          <w:b/>
          <w:color w:val="000000" w:themeColor="text1"/>
          <w:sz w:val="72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/>
      </w:r>
    </w:p>
    <w:p>
      <w:pPr>
        <w:pStyle w:val="Normal"/>
        <w:jc w:val="center"/>
        <w:rPr>
          <w:rFonts w:eastAsia="Times New Roman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Calibri" w:ascii="Impact" w:hAnsi="Impact"/>
          <w:b/>
          <w:color w:val="FF0000"/>
          <w:kern w:val="0"/>
          <w:sz w:val="72"/>
          <w:szCs w:val="20"/>
          <w:lang w:val="en-US" w:eastAsia="en-US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20 – 21, 2024</w:t>
      </w:r>
    </w:p>
    <w:p>
      <w:pPr>
        <w:pStyle w:val="Normal"/>
        <w:jc w:val="center"/>
        <w:rPr>
          <w:rFonts w:ascii="Impact" w:hAnsi="Impact" w:eastAsia="Times New Roman"/>
          <w:b/>
          <w:b/>
          <w:sz w:val="4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ascii="Impact" w:hAnsi="Impact"/>
          <w:b/>
          <w:sz w:val="4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9am-5pm</w:t>
      </w:r>
    </w:p>
    <w:p>
      <w:pPr>
        <w:pStyle w:val="Normal"/>
        <w:jc w:val="center"/>
        <w:rPr>
          <w:rFonts w:ascii="Impact" w:hAnsi="Impact" w:eastAsia="Times New Roman"/>
          <w:sz w:val="20"/>
          <w:szCs w:val="20"/>
        </w:rPr>
      </w:pPr>
      <w:r>
        <w:rPr>
          <w:rFonts w:eastAsia="Times New Roman" w:ascii="Impact" w:hAnsi="Impact"/>
          <w:sz w:val="20"/>
          <w:szCs w:val="20"/>
        </w:rPr>
      </w:r>
    </w:p>
    <w:p>
      <w:pPr>
        <w:pStyle w:val="Normal"/>
        <w:jc w:val="center"/>
        <w:rPr>
          <w:rFonts w:ascii="Impact" w:hAnsi="Impact" w:eastAsia="Times New Roman"/>
          <w:b/>
          <w:b/>
          <w:sz w:val="32"/>
          <w:szCs w:val="20"/>
        </w:rPr>
      </w:pPr>
      <w:r>
        <w:rPr>
          <w:rFonts w:eastAsia="Times New Roman" w:ascii="Impact" w:hAnsi="Impact"/>
          <w:b/>
          <w:sz w:val="32"/>
          <w:szCs w:val="20"/>
        </w:rPr>
        <w:t>Fort Colville Gun Club Pistol Range</w:t>
      </w:r>
    </w:p>
    <w:p>
      <w:pPr>
        <w:pStyle w:val="Normal"/>
        <w:jc w:val="center"/>
        <w:rPr>
          <w:rFonts w:ascii="Impact" w:hAnsi="Impact" w:eastAsia="Times New Roman"/>
          <w:sz w:val="24"/>
          <w:szCs w:val="20"/>
        </w:rPr>
      </w:pPr>
      <w:r>
        <w:rPr>
          <w:rFonts w:eastAsia="Times New Roman" w:ascii="Impact" w:hAnsi="Impact"/>
          <w:sz w:val="24"/>
          <w:szCs w:val="20"/>
        </w:rPr>
        <w:t>303 Hwy 20 East, Colville WA 99114</w:t>
      </w:r>
    </w:p>
    <w:p>
      <w:pPr>
        <w:pStyle w:val="Normal"/>
        <w:rPr>
          <w:rFonts w:eastAsia="Times New Roman"/>
          <w:color w:val="1F497D"/>
          <w:sz w:val="20"/>
          <w:szCs w:val="20"/>
        </w:rPr>
      </w:pPr>
      <w:r>
        <w:rPr>
          <w:rFonts w:eastAsia="Times New Roman"/>
          <w:color w:val="1F497D"/>
          <w:sz w:val="20"/>
          <w:szCs w:val="20"/>
        </w:rPr>
      </w:r>
    </w:p>
    <w:tbl>
      <w:tblPr>
        <w:tblStyle w:val="TableGrid"/>
        <w:tblW w:w="10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7186"/>
      </w:tblGrid>
      <w:tr>
        <w:trPr/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kern w:val="0"/>
                <w:sz w:val="24"/>
                <w:szCs w:val="20"/>
                <w:lang w:val="en-US" w:eastAsia="en-US" w:bidi="ar-SA"/>
              </w:rPr>
              <w:t xml:space="preserve">Join us for a two-day (16 hour) Seminar to learn about:        </w:t>
            </w:r>
          </w:p>
          <w:tbl>
            <w:tblPr>
              <w:tblStyle w:val="TableGrid"/>
              <w:tblW w:w="1044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0"/>
              <w:gridCol w:w="10350"/>
            </w:tblGrid>
            <w:tr>
              <w:trPr/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eastAsia="Times New Roman"/>
                      <w:color w:val="1F497D"/>
                      <w:sz w:val="24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103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/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 xml:space="preserve">Basic </w:t>
                  </w: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>Firearms Safety Rules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0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>Firearms and Children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0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>Secure Gun Storage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0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>Safe Handling of Firearms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4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4"/>
                      <w:lang w:val="en-US" w:eastAsia="en-US" w:bidi="ar-SA"/>
                    </w:rPr>
                    <w:t>Firearms and Suicide Prevention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4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4"/>
                      <w:lang w:val="en-US" w:eastAsia="en-US" w:bidi="ar-SA"/>
                    </w:rPr>
                    <w:t xml:space="preserve">WA </w:t>
                  </w: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4"/>
                      <w:lang w:val="en-US" w:eastAsia="en-US" w:bidi="ar-SA"/>
                    </w:rPr>
                    <w:t>and Federal Firearms Laws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0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>Use of Deadly force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0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>Avoiding Criminal Attacks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2"/>
                    </w:numPr>
                    <w:suppressAutoHyphens w:val="true"/>
                    <w:bidi w:val="0"/>
                    <w:spacing w:lineRule="auto" w:line="240" w:before="0" w:after="0"/>
                    <w:ind w:left="-89" w:right="0" w:hanging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0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kern w:val="0"/>
                      <w:sz w:val="24"/>
                      <w:szCs w:val="20"/>
                      <w:lang w:val="en-US" w:eastAsia="en-US" w:bidi="ar-SA"/>
                    </w:rPr>
                    <w:t>Live fire with your Personal Carry Handgun</w:t>
                  </w:r>
                </w:p>
                <w:tbl>
                  <w:tblPr>
                    <w:tblStyle w:val="TableGrid"/>
                    <w:tblW w:w="7832" w:type="dxa"/>
                    <w:jc w:val="center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832"/>
                  </w:tblGrid>
                  <w:tr>
                    <w:trPr/>
                    <w:tc>
                      <w:tcPr>
                        <w:tcW w:w="7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center"/>
                          <w:rPr>
                            <w:rFonts w:ascii="Copperplate Gothic Bold" w:hAnsi="Copperplate Gothic Bold" w:eastAsia="Times New Roman"/>
                            <w:color w:val="C9211E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 w:ascii="Copperplate Gothic Bold" w:hAnsi="Copperplate Gothic Bold"/>
                            <w:color w:val="C9211E"/>
                            <w:kern w:val="0"/>
                            <w:sz w:val="22"/>
                            <w:szCs w:val="22"/>
                            <w:lang w:val="en-US" w:eastAsia="en-US" w:bidi="ar-SA"/>
                          </w:rPr>
                          <w:t>Participants with concealed pistol licenses (CPL) is preferred, but not required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40" w:before="0" w:after="0"/>
                    <w:ind w:left="-989" w:right="0" w:hanging="0"/>
                    <w:jc w:val="left"/>
                    <w:rPr>
                      <w:kern w:val="0"/>
                      <w:lang w:val="en-US" w:eastAsia="en-US" w:bidi="ar-SA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sz w:val="24"/>
                      <w:szCs w:val="20"/>
                    </w:rPr>
                  </w:r>
                </w:p>
                <w:tbl>
                  <w:tblPr>
                    <w:tblStyle w:val="TableGrid"/>
                    <w:tblW w:w="10245" w:type="dxa"/>
                    <w:jc w:val="right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3600"/>
                    <w:gridCol w:w="2666"/>
                    <w:gridCol w:w="3979"/>
                  </w:tblGrid>
                  <w:tr>
                    <w:trPr>
                      <w:trHeight w:val="3198" w:hRule="atLeast"/>
                    </w:trPr>
                    <w:tc>
                      <w:tcPr>
                        <w:tcW w:w="360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szCs w:val="20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b/>
                            <w:kern w:val="0"/>
                            <w:sz w:val="22"/>
                            <w:szCs w:val="20"/>
                            <w:u w:val="single"/>
                            <w:lang w:val="en-US" w:eastAsia="en-US" w:bidi="ar-SA"/>
                          </w:rPr>
                          <w:t>INSTRUCTORS: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0"/>
                            <w:sz w:val="22"/>
                            <w:szCs w:val="22"/>
                            <w:lang w:val="en-US" w:eastAsia="en-US" w:bidi="ar-SA"/>
                          </w:rPr>
                          <w:t>Jeff Hall   Lead Instructor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Retired Alaska State Trooper Lt.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0ver 25 years of Military and Law enforcement experience, 19yrs pistol team, 12yrs SWAT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Author &amp; writer SWAT Magazine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Martial Arts Instructor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NRA Staff Instructor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Owner of Forceoptions.net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en-US" w:bidi="ar-SA"/>
                          </w:rPr>
                          <w:t>Colin Webb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 xml:space="preserve">Retired Stevens County Sheriff’s Deputy 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 xml:space="preserve">Law Enforcement Firearms Instructor 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Range Safety Officer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en-US" w:bidi="ar-SA"/>
                          </w:rPr>
                          <w:t>Chuck Meese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i/>
                            <w:kern w:val="0"/>
                            <w:sz w:val="18"/>
                            <w:szCs w:val="20"/>
                            <w:lang w:val="en-US" w:eastAsia="en-US" w:bidi="ar-SA"/>
                          </w:rPr>
                          <w:t>Past FCGC President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i/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i/>
                            <w:kern w:val="0"/>
                            <w:sz w:val="18"/>
                            <w:szCs w:val="20"/>
                            <w:lang w:val="en-US" w:eastAsia="en-US" w:bidi="ar-SA"/>
                          </w:rPr>
                          <w:t xml:space="preserve">Chief </w:t>
                        </w:r>
                        <w:r>
                          <w:rPr>
                            <w:rFonts w:eastAsia="Times New Roman"/>
                            <w:i/>
                            <w:kern w:val="0"/>
                            <w:sz w:val="18"/>
                            <w:szCs w:val="20"/>
                            <w:lang w:val="en-US" w:eastAsia="en-US" w:bidi="ar-SA"/>
                          </w:rPr>
                          <w:t>Range Safety Officer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NRA Instructor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0"/>
                            <w:sz w:val="24"/>
                            <w:szCs w:val="24"/>
                            <w:lang w:val="en-US" w:eastAsia="en-US" w:bidi="ar-SA"/>
                          </w:rPr>
                          <w:t>Lech Radzimski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kern w:val="0"/>
                            <w:sz w:val="18"/>
                            <w:szCs w:val="18"/>
                            <w:lang w:val="en-US" w:eastAsia="en-US" w:bidi="ar-SA"/>
                          </w:rPr>
                          <w:t>Superior Court Judge</w:t>
                        </w:r>
                      </w:p>
                    </w:tc>
                    <w:tc>
                      <w:tcPr>
                        <w:tcW w:w="2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szCs w:val="20"/>
                          </w:rPr>
                        </w:pPr>
                        <w:r>
                          <w:rPr/>
                          <w:drawing>
                            <wp:inline distT="0" distB="0" distL="0" distR="0">
                              <wp:extent cx="1500505" cy="2014855"/>
                              <wp:effectExtent l="0" t="0" r="0" b="0"/>
                              <wp:docPr id="1" name="Picture 8" descr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8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 l="0" t="761" r="50793" b="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505" cy="2014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1F497D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Participants will need to bring the following on both days:</w:t>
                        </w:r>
                      </w:p>
                      <w:p>
                        <w:pPr>
                          <w:pStyle w:val="ListParagraph"/>
                          <w:widowControl w:val="false"/>
                          <w:numPr>
                            <w:ilvl w:val="0"/>
                            <w:numId w:val="1"/>
                          </w:numPr>
                          <w:suppressAutoHyphens w:val="true"/>
                          <w:spacing w:before="0" w:after="0"/>
                          <w:contextualSpacing/>
                          <w:jc w:val="left"/>
                          <w:rPr>
                            <w:rFonts w:eastAsia="Times New Roman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1F497D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personally owned handgun</w:t>
                        </w:r>
                      </w:p>
                      <w:p>
                        <w:pPr>
                          <w:pStyle w:val="ListParagraph"/>
                          <w:widowControl w:val="false"/>
                          <w:numPr>
                            <w:ilvl w:val="0"/>
                            <w:numId w:val="1"/>
                          </w:numPr>
                          <w:suppressAutoHyphens w:val="true"/>
                          <w:spacing w:before="0" w:after="0"/>
                          <w:contextualSpacing/>
                          <w:jc w:val="left"/>
                          <w:rPr>
                            <w:rFonts w:eastAsia="Times New Roman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1F497D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eye protection</w:t>
                        </w:r>
                      </w:p>
                      <w:p>
                        <w:pPr>
                          <w:pStyle w:val="ListParagraph"/>
                          <w:widowControl w:val="false"/>
                          <w:numPr>
                            <w:ilvl w:val="0"/>
                            <w:numId w:val="1"/>
                          </w:numPr>
                          <w:suppressAutoHyphens w:val="true"/>
                          <w:spacing w:before="0" w:after="0"/>
                          <w:contextualSpacing/>
                          <w:jc w:val="left"/>
                          <w:rPr>
                            <w:rFonts w:eastAsia="Times New Roman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1F497D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hearing protection</w:t>
                        </w:r>
                      </w:p>
                      <w:p>
                        <w:pPr>
                          <w:pStyle w:val="ListParagraph"/>
                          <w:widowControl w:val="false"/>
                          <w:numPr>
                            <w:ilvl w:val="0"/>
                            <w:numId w:val="1"/>
                          </w:numPr>
                          <w:suppressAutoHyphens w:val="true"/>
                          <w:spacing w:before="0" w:after="0"/>
                          <w:contextualSpacing/>
                          <w:jc w:val="left"/>
                          <w:rPr>
                            <w:rFonts w:eastAsia="Times New Roman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1F497D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lunches</w:t>
                        </w:r>
                      </w:p>
                      <w:p>
                        <w:pPr>
                          <w:pStyle w:val="ListParagraph"/>
                          <w:widowControl w:val="false"/>
                          <w:numPr>
                            <w:ilvl w:val="0"/>
                            <w:numId w:val="1"/>
                          </w:numPr>
                          <w:suppressAutoHyphens w:val="true"/>
                          <w:spacing w:before="0" w:after="0"/>
                          <w:contextualSpacing/>
                          <w:jc w:val="left"/>
                          <w:rPr>
                            <w:rFonts w:eastAsia="Times New Roman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1F497D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100 rounds of 22lr ammo</w:t>
                        </w:r>
                      </w:p>
                      <w:p>
                        <w:pPr>
                          <w:pStyle w:val="ListParagraph"/>
                          <w:widowControl w:val="false"/>
                          <w:numPr>
                            <w:ilvl w:val="0"/>
                            <w:numId w:val="1"/>
                          </w:numPr>
                          <w:suppressAutoHyphens w:val="true"/>
                          <w:spacing w:before="0" w:after="0"/>
                          <w:contextualSpacing/>
                          <w:jc w:val="left"/>
                          <w:rPr>
                            <w:rFonts w:eastAsia="Times New Roman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1F497D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minimum of 200 rounds of ammo for personally owned handgun (If participant does not own a handgun one can be provided if mentioned during pre-registration).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right"/>
                          <w:rPr>
                            <w:rFonts w:eastAsia="Times New Roman"/>
                            <w:b/>
                            <w:b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600" w:type="dxa"/>
                        <w:vMerge w:val="continue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Two-day Seminar fee is $150 </w:t>
                        </w:r>
                        <w:r>
                          <w:rPr>
                            <w:rFonts w:eastAsia="Times New Roman"/>
                            <w:b/>
                            <w:color w:val="C9211E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($100 for FCGC Members)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Class size will be limited to 16 participants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Pre-registration and $50 deposit required 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Course Completion Certificate Awarded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600" w:type="dxa"/>
                        <w:vMerge w:val="continue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ListParagraph"/>
                          <w:widowControl w:val="false"/>
                          <w:suppressAutoHyphens w:val="true"/>
                          <w:spacing w:before="0" w:after="0"/>
                          <w:contextualSpacing/>
                          <w:jc w:val="left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600" w:type="dxa"/>
                        <w:vMerge w:val="continue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 w:val="22"/>
                            <w:szCs w:val="18"/>
                            <w:lang w:val="en-US" w:eastAsia="en-US" w:bidi="ar-SA"/>
                          </w:rPr>
                          <w:t xml:space="preserve">For additional info and pre-registration contact Chuck  Meese at </w:t>
                        </w:r>
                        <w:hyperlink r:id="rId3">
                          <w:r>
                            <w:rPr>
                              <w:rStyle w:val="InternetLink"/>
                              <w:rFonts w:eastAsia="Times New Roman"/>
                              <w:kern w:val="0"/>
                              <w:sz w:val="22"/>
                              <w:szCs w:val="18"/>
                              <w:lang w:val="en-US" w:eastAsia="en-US" w:bidi="ar-SA"/>
                            </w:rPr>
                            <w:t>cameese1@hotmail.com</w:t>
                          </w:r>
                        </w:hyperlink>
                        <w:r>
                          <w:rPr>
                            <w:rFonts w:eastAsia="Times New Roman"/>
                            <w:kern w:val="0"/>
                            <w:sz w:val="22"/>
                            <w:szCs w:val="18"/>
                            <w:lang w:val="en-US" w:eastAsia="en-US" w:bidi="ar-SA"/>
                          </w:rPr>
                          <w:t xml:space="preserve"> or </w:t>
                        </w:r>
                        <w:r>
                          <w:rPr>
                            <w:rFonts w:cs="Arial" w:ascii="Arial" w:hAnsi="Arial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(509) 738-4033</w:t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eastAsia="Times New Roman"/>
                            <w:szCs w:val="18"/>
                          </w:rPr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0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center"/>
                          <w:rPr>
                            <w:rFonts w:eastAsia="Times New Roman"/>
                            <w:b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FF0000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Class meets requirements of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FF0000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WA 1143 /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FF0000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 xml:space="preserve"> 1639 Firearms Safety Training including a certificate for successful complet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FF0000"/>
                            <w:kern w:val="0"/>
                            <w:sz w:val="20"/>
                            <w:szCs w:val="20"/>
                            <w:lang w:val="en-US" w:eastAsia="en-US" w:bidi="ar-SA"/>
                          </w:rPr>
                          <w:t>ion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40" w:before="0" w:after="0"/>
                    <w:ind w:left="-89" w:right="-1440" w:hanging="0"/>
                    <w:jc w:val="left"/>
                    <w:rPr>
                      <w:kern w:val="0"/>
                      <w:lang w:val="en-US" w:eastAsia="en-US" w:bidi="ar-SA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sz w:val="24"/>
                      <w:szCs w:val="20"/>
                    </w:rPr>
                  </w:r>
                </w:p>
                <w:tbl>
                  <w:tblPr>
                    <w:tblStyle w:val="TableGrid"/>
                    <w:tblW w:w="7832" w:type="dxa"/>
                    <w:jc w:val="center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7832"/>
                  </w:tblGrid>
                  <w:tr>
                    <w:trPr>
                      <w:trHeight w:val="2970" w:hRule="atLeast"/>
                    </w:trPr>
                    <w:tc>
                      <w:tcPr>
                        <w:tcW w:w="7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kern w:val="0"/>
                            <w:lang w:val="en-US" w:eastAsia="en-US" w:bidi="ar-SA"/>
                          </w:rPr>
                        </w:pPr>
                        <w:r>
                          <w:rPr>
                            <w:rFonts w:eastAsia="Times New Roman" w:ascii="Copperplate Gothic Bold" w:hAnsi="Copperplate Gothic Bold"/>
                            <w:color w:val="1F497D"/>
                            <w:sz w:val="24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kern w:val="0"/>
                            <w:lang w:val="en-US" w:eastAsia="en-US" w:bidi="ar-SA"/>
                          </w:rPr>
                        </w:pPr>
                        <w:r>
                          <w:rPr>
                            <w:rFonts w:eastAsia="Times New Roman" w:ascii="Copperplate Gothic Bold" w:hAnsi="Copperplate Gothic Bold"/>
                            <w:color w:val="1F497D"/>
                            <w:sz w:val="24"/>
                            <w:szCs w:val="20"/>
                          </w:rPr>
                        </w:r>
                      </w:p>
                      <w:tbl>
                        <w:tblPr>
                          <w:tblStyle w:val="TableGrid"/>
                          <w:tblW w:w="7832" w:type="dxa"/>
                          <w:jc w:val="center"/>
                          <w:tblInd w:w="0" w:type="dxa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7832"/>
                        </w:tblGrid>
                        <w:tr>
                          <w:trPr/>
                          <w:tc>
                            <w:tcPr>
                              <w:tcW w:w="78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>
                              <w:pPr>
                                <w:pStyle w:val="Normal"/>
                                <w:widowControl w:val="false"/>
                                <w:suppressAutoHyphens w:val="true"/>
                                <w:spacing w:before="0" w:after="0"/>
                                <w:jc w:val="left"/>
                                <w:rPr>
                                  <w:kern w:val="0"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eastAsia="Times New Roman" w:ascii="Copperplate Gothic Bold" w:hAnsi="Copperplate Gothic Bold"/>
                                  <w:color w:val="1F497D"/>
                                  <w:sz w:val="24"/>
                                  <w:szCs w:val="20"/>
                                </w:rPr>
                              </w:r>
                            </w:p>
                            <w:tbl>
                              <w:tblPr>
                                <w:tblStyle w:val="TableGrid"/>
                                <w:tblW w:w="7832" w:type="dxa"/>
                                <w:jc w:val="center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  <w:tblLook w:firstRow="1" w:noVBand="1" w:lastRow="0" w:firstColumn="1" w:lastColumn="0" w:noHBand="0" w:val="04a0"/>
                              </w:tblPr>
                              <w:tblGrid>
                                <w:gridCol w:w="7832"/>
                              </w:tblGrid>
                              <w:tr>
                                <w:trPr>
                                  <w:trHeight w:val="39" w:hRule="atLeast"/>
                                </w:trPr>
                                <w:tc>
                                  <w:tcPr>
                                    <w:tcW w:w="78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>
                                    <w:pPr>
                                      <w:pStyle w:val="Normal"/>
                                      <w:widowControl w:val="false"/>
                                      <w:suppressAutoHyphens w:val="true"/>
                                      <w:spacing w:before="0" w:after="0"/>
                                      <w:jc w:val="left"/>
                                      <w:rPr>
                                        <w:kern w:val="0"/>
                                        <w:lang w:val="en-US" w:eastAsia="en-US" w:bidi="ar-SA"/>
                                      </w:rPr>
                                    </w:pPr>
                                    <w:r>
                                      <w:rPr>
                                        <w:rFonts w:eastAsia="Times New Roman" w:ascii="Copperplate Gothic Bold" w:hAnsi="Copperplate Gothic Bold"/>
                                        <w:color w:val="1F497D"/>
                                        <w:sz w:val="24"/>
                                        <w:szCs w:val="24"/>
                                      </w:rPr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7832" w:type="dxa"/>
                                      <w:jc w:val="center"/>
                                      <w:tblInd w:w="0" w:type="dxa"/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  <w:tblLook w:firstRow="1" w:noVBand="1" w:lastRow="0" w:firstColumn="1" w:lastColumn="0" w:noHBand="0" w:val="04a0"/>
                                    </w:tblPr>
                                    <w:tblGrid>
                                      <w:gridCol w:w="7832"/>
                                    </w:tblGrid>
                                    <w:tr>
                                      <w:trPr/>
                                      <w:tc>
                                        <w:tcPr>
                                          <w:tcW w:w="783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>
                                          <w:pPr>
                                            <w:pStyle w:val="Normal"/>
                                            <w:widowControl w:val="false"/>
                                            <w:suppressAutoHyphens w:val="true"/>
                                            <w:spacing w:before="0" w:after="0"/>
                                            <w:jc w:val="left"/>
                                            <w:rPr>
                                              <w:kern w:val="0"/>
                                              <w:lang w:val="en-US" w:eastAsia="en-US" w:bidi="ar-SA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ascii="Copperplate Gothic Bold" w:hAnsi="Copperplate Gothic Bold"/>
                                              <w:color w:val="1F497D"/>
                                              <w:sz w:val="24"/>
                                              <w:szCs w:val="24"/>
                                            </w:rPr>
                                          </w:r>
                                        </w:p>
                                        <w:tbl>
                                          <w:tblPr>
                                            <w:tblStyle w:val="TableGrid"/>
                                            <w:tblW w:w="7832" w:type="dxa"/>
                                            <w:jc w:val="center"/>
                                            <w:tblInd w:w="0" w:type="dxa"/>
                                            <w:tblLayout w:type="fixed"/>
                                            <w:tblCellMar>
                                              <w:top w:w="0" w:type="dxa"/>
                                              <w:left w:w="108" w:type="dxa"/>
                                              <w:bottom w:w="0" w:type="dxa"/>
                                              <w:right w:w="108" w:type="dxa"/>
                                            </w:tblCellMar>
                                            <w:tblLook w:firstRow="1" w:noVBand="1" w:lastRow="0" w:firstColumn="1" w:lastColumn="0" w:noHBand="0" w:val="04a0"/>
                                          </w:tblPr>
                                          <w:tblGrid>
                                            <w:gridCol w:w="90"/>
                                            <w:gridCol w:w="7742"/>
                                          </w:tblGrid>
                                          <w:tr>
                                            <w:trPr/>
                                            <w:tc>
                                              <w:tcPr>
                                                <w:tcW w:w="9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</w:tcPr>
                                              <w:p>
                                                <w:pPr>
                                                  <w:pStyle w:val="Normal"/>
                                                  <w:widowControl w:val="false"/>
                                                  <w:suppressAutoHyphens w:val="true"/>
                                                  <w:spacing w:before="0" w:after="0"/>
                                                  <w:jc w:val="left"/>
                                                  <w:rPr/>
                                                </w:pPr>
                                                <w:r>
                                                  <w:rPr/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742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</w:tcPr>
                                              <w:p>
                                                <w:pPr>
                                                  <w:pStyle w:val="Normal"/>
                                                  <w:widowControl w:val="false"/>
                                                  <w:suppressAutoHyphens w:val="true"/>
                                                  <w:spacing w:before="0" w:after="0"/>
                                                  <w:jc w:val="left"/>
                                                  <w:rPr>
                                                    <w:kern w:val="0"/>
                                                    <w:lang w:val="en-US" w:eastAsia="en-US" w:bidi="ar-S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 w:ascii="Copperplate Gothic Bold" w:hAnsi="Copperplate Gothic Bold"/>
                                                    <w:color w:val="1F497D"/>
                                                    <w:sz w:val="24"/>
                                                    <w:szCs w:val="20"/>
                                                  </w:rPr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>
                                          <w:pPr>
                                            <w:pStyle w:val="Normal"/>
                                            <w:jc w:val="left"/>
                                            <w:rPr/>
                                          </w:pPr>
                                          <w:r>
                                            <w:rPr/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pStyle w:val="Normal"/>
                                      <w:jc w:val="left"/>
                                      <w:rPr/>
                                    </w:pPr>
                                    <w:r>
                                      <w:rPr/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widowControl w:val="false"/>
                                <w:suppressAutoHyphens w:val="true"/>
                                <w:spacing w:before="0" w:after="0"/>
                                <w:jc w:val="left"/>
                                <w:rPr>
                                  <w:rFonts w:ascii="Copperplate Gothic Bold" w:hAnsi="Copperplate Gothic Bold" w:eastAsia="Times New Roman"/>
                                  <w:color w:val="1F497D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ascii="Copperplate Gothic Bold" w:hAnsi="Copperplate Gothic Bold"/>
                                  <w:color w:val="1F497D"/>
                                  <w:sz w:val="24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jc w:val="left"/>
                          <w:rPr/>
                        </w:pPr>
                        <w:r>
                          <w:rPr/>
                          <w:t xml:space="preserve">  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opperplate Gothic Bold" w:hAnsi="Copperplate Gothic Bold" w:eastAsia="Times New Roman"/>
                      <w:color w:val="1F497D"/>
                      <w:sz w:val="24"/>
                      <w:szCs w:val="20"/>
                    </w:rPr>
                  </w:pPr>
                  <w:r>
                    <w:rPr>
                      <w:rFonts w:eastAsia="Times New Roman" w:ascii="Copperplate Gothic Bold" w:hAnsi="Copperplate Gothic Bold"/>
                      <w:color w:val="1F497D"/>
                      <w:sz w:val="24"/>
                      <w:szCs w:val="20"/>
                    </w:rPr>
                  </w:r>
                </w:p>
                <w:tbl>
                  <w:tblPr>
                    <w:tblStyle w:val="TableGrid"/>
                    <w:tblW w:w="7832" w:type="dxa"/>
                    <w:jc w:val="center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180"/>
                    <w:gridCol w:w="7652"/>
                  </w:tblGrid>
                  <w:tr>
                    <w:trPr/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bidi w:val="0"/>
                          <w:spacing w:lineRule="auto" w:line="240" w:before="0" w:after="0"/>
                          <w:ind w:left="0" w:right="449" w:hanging="0"/>
                          <w:jc w:val="left"/>
                          <w:rPr>
                            <w:rFonts w:eastAsia="Times New Roman"/>
                            <w:color w:val="1F497D"/>
                            <w:sz w:val="24"/>
                            <w:szCs w:val="20"/>
                          </w:rPr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7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ascii="Copperplate Gothic Bold" w:hAnsi="Copperplate Gothic Bold" w:eastAsia="Times New Roman"/>
                            <w:color w:val="1F497D"/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Times New Roman" w:ascii="Copperplate Gothic Bold" w:hAnsi="Copperplate Gothic Bold"/>
                            <w:color w:val="1F497D"/>
                            <w:sz w:val="24"/>
                            <w:szCs w:val="20"/>
                          </w:rPr>
                        </w:r>
                      </w:p>
                    </w:tc>
                  </w:tr>
                  <w:tr>
                    <w:trPr/>
                    <w:tc>
                      <w:tcPr>
                        <w:tcW w:w="78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center"/>
                          <w:rPr>
                            <w:rFonts w:ascii="Copperplate Gothic Bold" w:hAnsi="Copperplate Gothic Bold" w:eastAsia="Times New Roman"/>
                            <w:color w:val="1F497D"/>
                            <w:sz w:val="16"/>
                            <w:szCs w:val="20"/>
                          </w:rPr>
                        </w:pPr>
                        <w:r>
                          <w:rPr>
                            <w:rFonts w:eastAsia="Times New Roman" w:ascii="Copperplate Gothic Bold" w:hAnsi="Copperplate Gothic Bold"/>
                            <w:color w:val="1F497D"/>
                            <w:sz w:val="16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  <w:tbl>
                  <w:tblPr>
                    <w:tblStyle w:val="TableGrid"/>
                    <w:tblW w:w="7832" w:type="dxa"/>
                    <w:jc w:val="center"/>
                    <w:tblInd w:w="0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638"/>
                    <w:gridCol w:w="7194"/>
                  </w:tblGrid>
                  <w:tr>
                    <w:trPr/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71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pStyle w:val="Normal"/>
                          <w:widowControl w:val="false"/>
                          <w:suppressAutoHyphens w:val="true"/>
                          <w:spacing w:before="0" w:after="0"/>
                          <w:jc w:val="left"/>
                          <w:rPr>
                            <w:rFonts w:ascii="Copperplate Gothic Bold" w:hAnsi="Copperplate Gothic Bold" w:eastAsia="Times New Roman"/>
                            <w:color w:val="1F497D"/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Times New Roman" w:ascii="Copperplate Gothic Bold" w:hAnsi="Copperplate Gothic Bold"/>
                            <w:color w:val="1F497D"/>
                            <w:sz w:val="24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24"/>
                <w:szCs w:val="24"/>
              </w:rPr>
            </w:r>
          </w:p>
        </w:tc>
      </w:tr>
      <w:tr>
        <w:trPr/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24"/>
                <w:szCs w:val="20"/>
              </w:rPr>
            </w:r>
          </w:p>
        </w:tc>
      </w:tr>
      <w:tr>
        <w:trPr/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24"/>
                <w:szCs w:val="20"/>
              </w:rPr>
            </w:r>
          </w:p>
        </w:tc>
      </w:tr>
      <w:tr>
        <w:trPr/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24"/>
                <w:szCs w:val="20"/>
              </w:rPr>
            </w:r>
          </w:p>
        </w:tc>
      </w:tr>
      <w:tr>
        <w:trPr/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24"/>
                <w:szCs w:val="20"/>
              </w:rPr>
            </w:r>
          </w:p>
        </w:tc>
      </w:tr>
      <w:tr>
        <w:trPr>
          <w:trHeight w:val="39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4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24"/>
                <w:szCs w:val="24"/>
              </w:rPr>
            </w:r>
          </w:p>
        </w:tc>
      </w:tr>
      <w:tr>
        <w:trPr/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color w:val="1F497D"/>
                <w:sz w:val="24"/>
                <w:szCs w:val="20"/>
              </w:rPr>
            </w:pPr>
            <w:r>
              <w:rPr/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pperplate Gothic Bold" w:hAnsi="Copperplate Gothic Bold" w:eastAsia="Times New Roman"/>
                <w:color w:val="1F497D"/>
                <w:sz w:val="24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24"/>
                <w:szCs w:val="20"/>
              </w:rPr>
            </w:r>
          </w:p>
        </w:tc>
      </w:tr>
      <w:tr>
        <w:trPr/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opperplate Gothic Bold" w:hAnsi="Copperplate Gothic Bold" w:eastAsia="Times New Roman"/>
                <w:color w:val="1F497D"/>
                <w:sz w:val="16"/>
                <w:szCs w:val="20"/>
              </w:rPr>
            </w:pPr>
            <w:r>
              <w:rPr>
                <w:rFonts w:eastAsia="Times New Roman" w:ascii="Copperplate Gothic Bold" w:hAnsi="Copperplate Gothic Bold"/>
                <w:color w:val="1F497D"/>
                <w:sz w:val="16"/>
                <w:szCs w:val="20"/>
              </w:rPr>
            </w:r>
          </w:p>
        </w:tc>
      </w:tr>
    </w:tbl>
    <w:p>
      <w:pPr>
        <w:pStyle w:val="Normal"/>
        <w:jc w:val="center"/>
        <w:rPr>
          <w:rFonts w:eastAsia="Times New Roman"/>
          <w:color w:val="1F497D"/>
          <w:sz w:val="20"/>
          <w:szCs w:val="20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Impact">
    <w:charset w:val="00"/>
    <w:family w:val="roman"/>
    <w:pitch w:val="variable"/>
  </w:font>
  <w:font w:name="Copperplate Gothic Bold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e0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c1e0c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34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16e1a"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76f5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3451"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f56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meese1@hot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LibreOffice/7.2.2.2$Windows_X86_64 LibreOffice_project/02b2acce88a210515b4a5bb2e46cbfb63fe97d56</Application>
  <AppVersion>15.0000</AppVersion>
  <Pages>2</Pages>
  <Words>273</Words>
  <Characters>1501</Characters>
  <CharactersWithSpaces>1730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2020-07-10T02:25:00Z</dcterms:created>
  <dc:creator>Sherry Chambers</dc:creator>
  <dc:description/>
  <dc:language>en-US</dc:language>
  <cp:lastModifiedBy/>
  <cp:lastPrinted>2019-03-13T00:32:00Z</cp:lastPrinted>
  <dcterms:modified xsi:type="dcterms:W3CDTF">2024-01-08T14:30:17Z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